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6" w:rsidRPr="00025B99" w:rsidRDefault="002927A6" w:rsidP="002927A6">
      <w:pPr>
        <w:pStyle w:val="a5"/>
        <w:spacing w:after="156"/>
        <w:ind w:firstLineChars="0" w:firstLine="0"/>
        <w:jc w:val="left"/>
        <w:rPr>
          <w:rFonts w:ascii="黑体" w:eastAsia="黑体" w:hAnsi="黑体" w:cs="仿宋"/>
          <w:bCs/>
          <w:szCs w:val="44"/>
        </w:rPr>
      </w:pPr>
      <w:r w:rsidRPr="00025B99">
        <w:rPr>
          <w:rFonts w:ascii="黑体" w:eastAsia="黑体" w:hAnsi="黑体" w:cs="仿宋" w:hint="eastAsia"/>
          <w:bCs/>
          <w:szCs w:val="44"/>
        </w:rPr>
        <w:t>附件</w:t>
      </w:r>
      <w:r>
        <w:rPr>
          <w:rFonts w:ascii="黑体" w:eastAsia="黑体" w:hAnsi="黑体" w:cs="仿宋" w:hint="eastAsia"/>
          <w:bCs/>
          <w:szCs w:val="44"/>
        </w:rPr>
        <w:t>6</w:t>
      </w:r>
    </w:p>
    <w:p w:rsidR="002927A6" w:rsidRPr="00025B99" w:rsidRDefault="002927A6" w:rsidP="002927A6">
      <w:pPr>
        <w:pStyle w:val="a5"/>
        <w:spacing w:afterLines="0"/>
        <w:ind w:firstLineChars="0" w:firstLine="0"/>
        <w:jc w:val="center"/>
        <w:rPr>
          <w:rFonts w:ascii="宋体" w:eastAsia="宋体" w:hAnsi="宋体" w:cs="仿宋"/>
          <w:b/>
          <w:bCs/>
          <w:sz w:val="44"/>
          <w:szCs w:val="44"/>
        </w:rPr>
      </w:pPr>
      <w:r w:rsidRPr="00025B99">
        <w:rPr>
          <w:rFonts w:ascii="宋体" w:eastAsia="宋体" w:hAnsi="宋体" w:cs="仿宋" w:hint="eastAsia"/>
          <w:b/>
          <w:bCs/>
          <w:sz w:val="44"/>
          <w:szCs w:val="44"/>
        </w:rPr>
        <w:t>《郑州商品交易所期货交易风险控制管理办法》修订案</w:t>
      </w:r>
    </w:p>
    <w:p w:rsidR="002927A6" w:rsidRPr="009310BE" w:rsidRDefault="002927A6" w:rsidP="002927A6">
      <w:pPr>
        <w:pStyle w:val="a5"/>
        <w:spacing w:afterLines="0"/>
        <w:ind w:firstLineChars="0" w:firstLine="0"/>
        <w:jc w:val="center"/>
        <w:rPr>
          <w:rFonts w:ascii="楷体" w:eastAsia="楷体" w:hAnsi="楷体" w:cs="仿宋"/>
          <w:b/>
          <w:bCs/>
          <w:sz w:val="36"/>
          <w:szCs w:val="44"/>
        </w:rPr>
      </w:pPr>
      <w:r w:rsidRPr="009310BE">
        <w:rPr>
          <w:rFonts w:ascii="楷体" w:eastAsia="楷体" w:hAnsi="楷体" w:hint="eastAsia"/>
          <w:szCs w:val="32"/>
        </w:rPr>
        <w:t>（</w:t>
      </w:r>
      <w:r w:rsidRPr="009310BE">
        <w:rPr>
          <w:rFonts w:ascii="楷体" w:eastAsia="楷体" w:hAnsi="楷体"/>
          <w:szCs w:val="32"/>
        </w:rPr>
        <w:t>2019</w:t>
      </w:r>
      <w:r w:rsidRPr="009310BE">
        <w:rPr>
          <w:rFonts w:ascii="楷体" w:eastAsia="楷体" w:hAnsi="楷体" w:hint="eastAsia"/>
          <w:szCs w:val="32"/>
        </w:rPr>
        <w:t>年</w:t>
      </w:r>
      <w:r>
        <w:rPr>
          <w:rFonts w:ascii="楷体" w:eastAsia="楷体" w:hAnsi="楷体" w:hint="eastAsia"/>
          <w:szCs w:val="32"/>
        </w:rPr>
        <w:t>7</w:t>
      </w:r>
      <w:r w:rsidRPr="009310BE">
        <w:rPr>
          <w:rFonts w:ascii="楷体" w:eastAsia="楷体" w:hAnsi="楷体" w:hint="eastAsia"/>
          <w:szCs w:val="32"/>
        </w:rPr>
        <w:t>月</w:t>
      </w:r>
      <w:r>
        <w:rPr>
          <w:rFonts w:ascii="楷体" w:eastAsia="楷体" w:hAnsi="楷体" w:hint="eastAsia"/>
          <w:szCs w:val="32"/>
        </w:rPr>
        <w:t>23</w:t>
      </w:r>
      <w:r w:rsidRPr="009310BE">
        <w:rPr>
          <w:rFonts w:ascii="楷体" w:eastAsia="楷体" w:hAnsi="楷体" w:hint="eastAsia"/>
          <w:szCs w:val="32"/>
        </w:rPr>
        <w:t>日郑州商品交易所第六届理事会第</w:t>
      </w:r>
      <w:r>
        <w:rPr>
          <w:rFonts w:ascii="楷体" w:eastAsia="楷体" w:hAnsi="楷体" w:hint="eastAsia"/>
          <w:szCs w:val="32"/>
        </w:rPr>
        <w:t>二十一</w:t>
      </w:r>
      <w:r w:rsidRPr="009310BE">
        <w:rPr>
          <w:rFonts w:ascii="楷体" w:eastAsia="楷体" w:hAnsi="楷体" w:hint="eastAsia"/>
          <w:szCs w:val="32"/>
        </w:rPr>
        <w:t>次会议审议通过）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对《郑州商品交易所期货交易风险控制管理办法》作如下修改：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一、将第四条第二款修改为：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“各品种</w:t>
      </w:r>
      <w:r>
        <w:rPr>
          <w:rStyle w:val="a4"/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  <w:footnoteReference w:id="2"/>
      </w: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期货合约的最低交易保证金标准见下表：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3"/>
        <w:gridCol w:w="2959"/>
      </w:tblGrid>
      <w:tr w:rsidR="002927A6" w:rsidRPr="009B3285" w:rsidTr="005E39EF">
        <w:trPr>
          <w:trHeight w:val="7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品种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最低交易保证金标准</w:t>
            </w:r>
          </w:p>
        </w:tc>
      </w:tr>
      <w:tr w:rsidR="002927A6" w:rsidRPr="009B3285" w:rsidTr="005E39EF">
        <w:trPr>
          <w:trHeight w:val="925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普麦、强麦、一号棉、菜油、早籼稻、菜籽、菜粕、动力煤、晚籼稻、粳稻、甲醇、硅铁、锰硅、白糖、PTA、玻璃、棉纱、尿素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5%</w:t>
            </w:r>
          </w:p>
        </w:tc>
      </w:tr>
      <w:tr w:rsidR="002927A6" w:rsidRPr="009B3285" w:rsidTr="005E39EF">
        <w:trPr>
          <w:trHeight w:val="130"/>
        </w:trPr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苹果、红枣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7%</w:t>
            </w:r>
          </w:p>
        </w:tc>
      </w:tr>
    </w:tbl>
    <w:p w:rsidR="002927A6" w:rsidRPr="009B3285" w:rsidRDefault="002927A6" w:rsidP="002927A6">
      <w:pPr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”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二、将第二十六条修改为：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“一号棉、白糖、PTA、菜油、甲醇、玻璃、菜粕、动力煤和尿素期货合约自合约挂牌至交割月前一个月第15个日历日期间的交易日，当合约的单边持仓量大于或等于一定规模时，非期货公司会员和客户按单边持仓量的10%确定限仓数额；当合约的单边持仓量小于一定规模时，非期货公司会员和客户按绝对量方式确定限仓数额。具体限仓标准见下表：</w:t>
      </w:r>
    </w:p>
    <w:tbl>
      <w:tblPr>
        <w:tblW w:w="4504" w:type="pct"/>
        <w:jc w:val="center"/>
        <w:tblLook w:val="04A0"/>
      </w:tblPr>
      <w:tblGrid>
        <w:gridCol w:w="1174"/>
        <w:gridCol w:w="3160"/>
        <w:gridCol w:w="3343"/>
      </w:tblGrid>
      <w:tr w:rsidR="002927A6" w:rsidRPr="009B3285" w:rsidTr="005E39EF">
        <w:trPr>
          <w:trHeight w:val="515"/>
          <w:jc w:val="center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lastRenderedPageBreak/>
              <w:t>品种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期货合约单边持仓量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非期货公司会员及客户最大单边持仓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一号棉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单边持仓量＜15万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15000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单边持仓量≥15万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白糖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单边持仓量＜25万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25000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单边持仓量≥25万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PTA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单边持仓量＜25万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25000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单边持仓量≥25万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菜油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单边持仓量＜10万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单边持仓量≥10万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甲醇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单边持仓量＜10万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单边持仓量≥10万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玻璃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单边持仓量＜20万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单边持仓量≥20万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菜粕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单边持仓量＜20万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单边持仓量≥20万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动力煤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单边持仓量＜60万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60000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单边持仓量≥60万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尿素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单边持仓量＜10万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10000</w:t>
            </w:r>
          </w:p>
        </w:tc>
      </w:tr>
      <w:tr w:rsidR="002927A6" w:rsidRPr="009B3285" w:rsidTr="005E39EF">
        <w:trPr>
          <w:trHeight w:val="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单边持仓量≥10万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pacing w:line="360" w:lineRule="auto"/>
              <w:jc w:val="center"/>
              <w:outlineLvl w:val="3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单边持仓量×10%</w:t>
            </w:r>
          </w:p>
        </w:tc>
      </w:tr>
    </w:tbl>
    <w:p w:rsidR="002927A6" w:rsidRPr="009B3285" w:rsidRDefault="002927A6" w:rsidP="002927A6">
      <w:pPr>
        <w:widowControl/>
        <w:spacing w:line="360" w:lineRule="auto"/>
        <w:rPr>
          <w:rFonts w:ascii="仿宋" w:eastAsia="仿宋" w:hAnsi="仿宋" w:cs="仿宋_GB2312"/>
          <w:color w:val="000000"/>
          <w:kern w:val="0"/>
          <w:sz w:val="28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28"/>
          <w:szCs w:val="32"/>
          <w:lang w:bidi="en-US"/>
        </w:rPr>
        <w:t>注：单位，手。</w:t>
      </w:r>
    </w:p>
    <w:p w:rsidR="002927A6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“……</w:t>
      </w:r>
    </w:p>
    <w:p w:rsidR="002927A6" w:rsidRPr="009B3285" w:rsidRDefault="002927A6" w:rsidP="002927A6">
      <w:pPr>
        <w:widowControl/>
        <w:spacing w:line="360" w:lineRule="auto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bidi="en-US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“</w:t>
      </w: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>各品种期货合约自交割月前一个月第16个日历日至交割月限仓标准见下表：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262"/>
        <w:gridCol w:w="3451"/>
      </w:tblGrid>
      <w:tr w:rsidR="002927A6" w:rsidRPr="009B3285" w:rsidTr="005E39EF">
        <w:trPr>
          <w:trHeight w:val="285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品  种</w:t>
            </w:r>
          </w:p>
        </w:tc>
        <w:tc>
          <w:tcPr>
            <w:tcW w:w="3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非期货公司会员及客户最大单边持仓（手）</w:t>
            </w:r>
          </w:p>
        </w:tc>
      </w:tr>
      <w:tr w:rsidR="002927A6" w:rsidRPr="009B3285" w:rsidTr="005E39EF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jc w:val="left"/>
              <w:rPr>
                <w:rFonts w:ascii="仿宋" w:eastAsia="仿宋" w:hAnsi="仿宋" w:cs="楷体_GB2312"/>
                <w:kern w:val="0"/>
                <w:sz w:val="24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交割月前一个月第16个日历日至交割月前一个月最后一个日历日期间的交易日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交割月份</w:t>
            </w:r>
          </w:p>
          <w:p w:rsidR="002927A6" w:rsidRPr="009B3285" w:rsidRDefault="002927A6" w:rsidP="005E39EF">
            <w:pPr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（自然人客户限仓为0）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普麦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600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lastRenderedPageBreak/>
              <w:t>强麦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300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一号棉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3000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400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白糖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PTA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菜油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3000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早籼稻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400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甲醇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玻璃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菜籽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菜粕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动力煤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4000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粳稻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3000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晚籼稻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3000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硅铁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锰硅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2000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棉纱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500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100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苹果</w:t>
            </w:r>
          </w:p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（非7月合约）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苹果</w:t>
            </w:r>
          </w:p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（7月合约）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  <w:shd w:val="pct15" w:color="auto" w:fill="FFFFFF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  <w:shd w:val="pct15" w:color="auto" w:fill="FFFFFF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6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红枣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6</w:t>
            </w:r>
          </w:p>
        </w:tc>
      </w:tr>
      <w:tr w:rsidR="002927A6" w:rsidRPr="009B3285" w:rsidTr="005E39EF">
        <w:trPr>
          <w:trHeight w:val="30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jc w:val="center"/>
              <w:rPr>
                <w:rFonts w:ascii="仿宋" w:eastAsia="仿宋" w:hAnsi="仿宋" w:cs="楷体_GB2312"/>
                <w:kern w:val="0"/>
                <w:sz w:val="24"/>
              </w:rPr>
            </w:pPr>
            <w:r w:rsidRPr="009B3285">
              <w:rPr>
                <w:rFonts w:ascii="仿宋" w:eastAsia="仿宋" w:hAnsi="仿宋" w:cs="楷体_GB2312" w:hint="eastAsia"/>
                <w:kern w:val="0"/>
                <w:sz w:val="24"/>
              </w:rPr>
              <w:t>尿素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3000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A6" w:rsidRPr="009B3285" w:rsidRDefault="002927A6" w:rsidP="005E39EF">
            <w:pPr>
              <w:widowControl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9B3285">
              <w:rPr>
                <w:rFonts w:ascii="仿宋" w:eastAsia="仿宋" w:hAnsi="仿宋" w:hint="eastAsia"/>
                <w:sz w:val="24"/>
              </w:rPr>
              <w:t>1000</w:t>
            </w:r>
          </w:p>
        </w:tc>
      </w:tr>
    </w:tbl>
    <w:p w:rsidR="002927A6" w:rsidRPr="009B3285" w:rsidRDefault="002927A6" w:rsidP="002927A6">
      <w:pPr>
        <w:widowControl/>
        <w:spacing w:line="360" w:lineRule="auto"/>
      </w:pPr>
      <w:r w:rsidRPr="009B3285">
        <w:rPr>
          <w:rFonts w:ascii="仿宋" w:eastAsia="仿宋" w:hAnsi="仿宋" w:hint="eastAsia"/>
          <w:sz w:val="32"/>
          <w:szCs w:val="32"/>
        </w:rPr>
        <w:t xml:space="preserve">    “……”</w:t>
      </w:r>
    </w:p>
    <w:p w:rsidR="002927A6" w:rsidRPr="009B3285" w:rsidRDefault="002927A6" w:rsidP="002927A6">
      <w:pPr>
        <w:widowControl/>
        <w:spacing w:line="360" w:lineRule="auto"/>
        <w:rPr>
          <w:rFonts w:cs="仿宋_GB2312"/>
          <w:color w:val="000000"/>
          <w:kern w:val="0"/>
          <w:lang w:bidi="en-US"/>
        </w:rPr>
      </w:pPr>
      <w:r w:rsidRPr="009B3285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bidi="en-US"/>
        </w:rPr>
        <w:t xml:space="preserve">  </w:t>
      </w:r>
    </w:p>
    <w:p w:rsidR="002927A6" w:rsidRPr="009B3285" w:rsidRDefault="002927A6" w:rsidP="002927A6">
      <w:pPr>
        <w:widowControl/>
        <w:spacing w:line="360" w:lineRule="auto"/>
        <w:rPr>
          <w:rFonts w:cs="仿宋_GB2312"/>
          <w:color w:val="000000"/>
          <w:kern w:val="0"/>
          <w:lang w:bidi="en-US"/>
        </w:rPr>
      </w:pPr>
    </w:p>
    <w:p w:rsidR="002927A6" w:rsidRPr="009B3285" w:rsidRDefault="002927A6" w:rsidP="002927A6">
      <w:pPr>
        <w:widowControl/>
        <w:spacing w:line="360" w:lineRule="auto"/>
        <w:rPr>
          <w:rFonts w:cs="仿宋_GB2312"/>
          <w:color w:val="000000"/>
          <w:kern w:val="0"/>
          <w:lang w:bidi="en-US"/>
        </w:rPr>
      </w:pPr>
    </w:p>
    <w:p w:rsidR="002927A6" w:rsidRPr="009B3285" w:rsidRDefault="002927A6" w:rsidP="002927A6">
      <w:pPr>
        <w:widowControl/>
        <w:spacing w:line="360" w:lineRule="auto"/>
        <w:rPr>
          <w:rFonts w:cs="仿宋_GB2312"/>
          <w:color w:val="000000"/>
          <w:kern w:val="0"/>
          <w:lang w:bidi="en-US"/>
        </w:rPr>
      </w:pPr>
    </w:p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226" w:rsidRDefault="00AD6226" w:rsidP="002927A6">
      <w:r>
        <w:separator/>
      </w:r>
    </w:p>
  </w:endnote>
  <w:endnote w:type="continuationSeparator" w:id="1">
    <w:p w:rsidR="00AD6226" w:rsidRDefault="00AD6226" w:rsidP="00292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226" w:rsidRDefault="00AD6226" w:rsidP="002927A6">
      <w:r>
        <w:separator/>
      </w:r>
    </w:p>
  </w:footnote>
  <w:footnote w:type="continuationSeparator" w:id="1">
    <w:p w:rsidR="00AD6226" w:rsidRDefault="00AD6226" w:rsidP="002927A6">
      <w:r>
        <w:continuationSeparator/>
      </w:r>
    </w:p>
  </w:footnote>
  <w:footnote w:id="2">
    <w:p w:rsidR="002927A6" w:rsidRPr="006546C3" w:rsidRDefault="002927A6" w:rsidP="002927A6">
      <w:pPr>
        <w:pStyle w:val="a3"/>
      </w:pPr>
      <w:r>
        <w:rPr>
          <w:rStyle w:val="a4"/>
        </w:rPr>
        <w:footnoteRef/>
      </w:r>
      <w:r>
        <w:rPr>
          <w:rFonts w:ascii="仿宋" w:eastAsia="仿宋" w:hAnsi="仿宋" w:cs="宋体" w:hint="eastAsia"/>
        </w:rPr>
        <w:t>各品种中，普通小麦简称“普麦”，优质强筋小麦简称“强麦”，一号棉花简称“一号棉”，精对苯二甲酸统称“</w:t>
      </w:r>
      <w:r>
        <w:rPr>
          <w:rFonts w:ascii="仿宋" w:eastAsia="仿宋" w:hAnsi="仿宋" w:hint="eastAsia"/>
        </w:rPr>
        <w:t>PTA”</w:t>
      </w:r>
      <w:r>
        <w:rPr>
          <w:rFonts w:ascii="仿宋" w:eastAsia="仿宋" w:hAnsi="仿宋" w:cs="宋体" w:hint="eastAsia"/>
        </w:rPr>
        <w:t>，菜籽油简称“菜油”，油菜籽简称“菜籽”，菜籽粕简称“菜粕”，鲜苹果简称“苹果”，干制红枣简称“红枣”。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7A6"/>
    <w:rsid w:val="002927A6"/>
    <w:rsid w:val="00AD6226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1"/>
    <w:rsid w:val="002927A6"/>
    <w:pPr>
      <w:snapToGrid w:val="0"/>
      <w:jc w:val="left"/>
    </w:pPr>
    <w:rPr>
      <w:kern w:val="0"/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2927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1"/>
    <w:basedOn w:val="a0"/>
    <w:link w:val="a3"/>
    <w:rsid w:val="002927A6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footnote reference"/>
    <w:rsid w:val="002927A6"/>
    <w:rPr>
      <w:vertAlign w:val="superscript"/>
    </w:rPr>
  </w:style>
  <w:style w:type="paragraph" w:customStyle="1" w:styleId="a5">
    <w:name w:val="正文哦"/>
    <w:basedOn w:val="a"/>
    <w:link w:val="Char0"/>
    <w:qFormat/>
    <w:rsid w:val="002927A6"/>
    <w:pPr>
      <w:widowControl/>
      <w:spacing w:afterLines="50" w:line="360" w:lineRule="auto"/>
      <w:ind w:firstLineChars="200" w:firstLine="640"/>
    </w:pPr>
    <w:rPr>
      <w:rFonts w:ascii="仿宋" w:eastAsia="仿宋" w:hAnsi="仿宋"/>
      <w:sz w:val="32"/>
      <w:szCs w:val="22"/>
    </w:rPr>
  </w:style>
  <w:style w:type="character" w:customStyle="1" w:styleId="Char0">
    <w:name w:val="正文哦 Char"/>
    <w:basedOn w:val="a0"/>
    <w:link w:val="a5"/>
    <w:locked/>
    <w:rsid w:val="002927A6"/>
    <w:rPr>
      <w:rFonts w:ascii="仿宋" w:eastAsia="仿宋" w:hAnsi="仿宋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638</Characters>
  <Application>Microsoft Office Word</Application>
  <DocSecurity>0</DocSecurity>
  <Lines>53</Lines>
  <Paragraphs>49</Paragraphs>
  <ScaleCrop>false</ScaleCrop>
  <Company>Lenovo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2019-08-02T11:22:00Z</dcterms:created>
  <dcterms:modified xsi:type="dcterms:W3CDTF">2019-08-02T11:22:00Z</dcterms:modified>
</cp:coreProperties>
</file>